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5A" w:rsidRDefault="00C43248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3F6E5A" w:rsidRDefault="00C43248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</w:t>
      </w:r>
      <w:r w:rsidR="00276BBB">
        <w:rPr>
          <w:rFonts w:cs="Times New Roman"/>
          <w:b/>
          <w:color w:val="FF0000"/>
          <w:sz w:val="32"/>
          <w:szCs w:val="32"/>
        </w:rPr>
        <w:t>5</w:t>
      </w:r>
      <w:r>
        <w:rPr>
          <w:rFonts w:cs="Times New Roman"/>
          <w:b/>
          <w:color w:val="FF0000"/>
          <w:sz w:val="32"/>
          <w:szCs w:val="32"/>
        </w:rPr>
        <w:t xml:space="preserve">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 xml:space="preserve">séjour scientifique à l’Institut </w:t>
      </w:r>
      <w:proofErr w:type="spellStart"/>
      <w:r>
        <w:rPr>
          <w:rFonts w:cs="Times New Roman"/>
          <w:b/>
          <w:i/>
          <w:color w:val="FF0000"/>
          <w:sz w:val="28"/>
          <w:szCs w:val="28"/>
        </w:rPr>
        <w:t>Pprime</w:t>
      </w:r>
      <w:proofErr w:type="spellEnd"/>
    </w:p>
    <w:p w:rsidR="003F6E5A" w:rsidRDefault="00C43248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3F6E5A" w:rsidRDefault="00C4324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3F6E5A" w:rsidRDefault="00C43248">
      <w:pPr>
        <w:jc w:val="both"/>
      </w:pPr>
      <w:r>
        <w:t xml:space="preserve">Cet appel à projets concerne </w:t>
      </w:r>
      <w:r>
        <w:t xml:space="preserve">l’invitation de Professeurs ou de Chercheurs étrangers dans le cadre du projet </w:t>
      </w:r>
      <w:proofErr w:type="spellStart"/>
      <w:r>
        <w:t>Labex</w:t>
      </w:r>
      <w:proofErr w:type="spellEnd"/>
      <w:r>
        <w:t xml:space="preserve"> Interactifs.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http://labex-interactifs.pprime.fr/</w:t>
        </w:r>
      </w:hyperlink>
      <w:r>
        <w:rPr>
          <w:rFonts w:cs="Times New Roman"/>
        </w:rPr>
        <w:t>.</w:t>
      </w:r>
    </w:p>
    <w:p w:rsidR="003F6E5A" w:rsidRDefault="00C43248">
      <w:pPr>
        <w:jc w:val="both"/>
      </w:pPr>
      <w:r>
        <w:rPr>
          <w:rFonts w:cs="Times New Roman"/>
        </w:rPr>
        <w:t xml:space="preserve">Il </w:t>
      </w:r>
      <w:r>
        <w:rPr>
          <w:rFonts w:cs="Times New Roman"/>
        </w:rPr>
        <w:t xml:space="preserve">s’agit </w:t>
      </w:r>
      <w:r>
        <w:rPr>
          <w:rFonts w:eastAsia="Times New Roman" w:cs="Times New Roman"/>
          <w:color w:val="000000"/>
          <w:lang w:eastAsia="fr-FR"/>
        </w:rPr>
        <w:t xml:space="preserve">d’initier ou consolider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 Durant leur séjour, les chercheurs invités devront proposer des séminaires, conférences ou</w:t>
      </w:r>
      <w:r>
        <w:rPr>
          <w:rFonts w:eastAsia="Times New Roman" w:cs="Times New Roman"/>
          <w:color w:val="000000"/>
          <w:lang w:eastAsia="fr-FR"/>
        </w:rPr>
        <w:t xml:space="preserve"> cours à destination notamment des doctorants et des personnels de l’Institut.</w:t>
      </w:r>
    </w:p>
    <w:p w:rsidR="003F6E5A" w:rsidRDefault="00C43248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2 - Durée du séjour </w:t>
      </w:r>
    </w:p>
    <w:p w:rsidR="003F6E5A" w:rsidRDefault="00C43248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Cet AAP concerne des séjours d’une durée comprise entre 1 semaine minimum et 8 semaines.</w:t>
      </w:r>
    </w:p>
    <w:p w:rsidR="003F6E5A" w:rsidRDefault="00C43248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3 -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3F6E5A" w:rsidRDefault="00C43248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soutient cet AAP en </w:t>
      </w:r>
      <w:r>
        <w:rPr>
          <w:rFonts w:asciiTheme="minorHAnsi" w:hAnsiTheme="minorHAnsi" w:cstheme="minorHAnsi"/>
          <w:sz w:val="22"/>
          <w:szCs w:val="22"/>
        </w:rPr>
        <w:t>finançant, pour chaque dossier retenu :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transport entre le pays d’origine et Poitiers ou Angoulême : Avion, train, 1 ou 2 nuits d’hôtel à Paris si </w:t>
      </w:r>
      <w:proofErr w:type="gramStart"/>
      <w:r>
        <w:rPr>
          <w:rFonts w:asciiTheme="minorHAnsi" w:hAnsiTheme="minorHAnsi" w:cstheme="minorHAnsi"/>
          <w:sz w:val="22"/>
          <w:szCs w:val="22"/>
        </w:rPr>
        <w:t>nécessaire</w:t>
      </w:r>
      <w:proofErr w:type="gramEnd"/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L’hébergement en résidence meublée à Poitiers (Résidence Lamartine,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Adagio) ou à A</w:t>
      </w:r>
      <w:r>
        <w:rPr>
          <w:rFonts w:asciiTheme="minorHAnsi" w:hAnsiTheme="minorHAnsi" w:cstheme="minorHAnsi"/>
          <w:sz w:val="22"/>
          <w:szCs w:val="22"/>
        </w:rPr>
        <w:t xml:space="preserve">ngoulême (type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repas de midi au restaurant administratif pour les jours travaillés (Crous…).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Une carte de bus Vitalis ou Möbius (10 trajets par semaine)</w:t>
      </w:r>
    </w:p>
    <w:p w:rsidR="003F6E5A" w:rsidRDefault="003F6E5A">
      <w:pPr>
        <w:pStyle w:val="NormalWeb"/>
        <w:spacing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3F6E5A" w:rsidRDefault="00C43248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Pour faciliter la gestion administrative de ces séjours, aucune note de frais ne ser</w:t>
      </w:r>
      <w:r>
        <w:rPr>
          <w:rFonts w:asciiTheme="minorHAnsi" w:hAnsiTheme="minorHAnsi" w:cstheme="minorHAnsi"/>
          <w:sz w:val="22"/>
          <w:szCs w:val="22"/>
        </w:rPr>
        <w:t>a remboursée à l’invité. Les frais annexes (métro, taxi, dîner…) seront à sa charge ou à celle de l’équipe d’accueil.</w:t>
      </w:r>
    </w:p>
    <w:p w:rsidR="003F6E5A" w:rsidRDefault="00C43248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3F6E5A" w:rsidRDefault="00C43248">
      <w:pPr>
        <w:jc w:val="both"/>
      </w:pPr>
      <w:r>
        <w:rPr>
          <w:rFonts w:cstheme="minorHAnsi"/>
        </w:rPr>
        <w:t xml:space="preserve">En contrepartie de son aide financière, le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demande que l’invité fasse un cours ou des séminaires : un séminaire pou</w:t>
      </w:r>
      <w:r>
        <w:rPr>
          <w:rFonts w:cstheme="minorHAnsi"/>
        </w:rPr>
        <w:t xml:space="preserve">r les séjours de 1 à 4 semaines, 2 séminaires pour les séjours de 5 à 8 semaines. De plus,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communication et d’ajouter le texte suivant dans les remerciements des articles scientifi</w:t>
      </w:r>
      <w:r>
        <w:rPr>
          <w:rFonts w:cstheme="minorHAnsi"/>
        </w:rPr>
        <w:t xml:space="preserve">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</w:t>
      </w:r>
    </w:p>
    <w:p w:rsidR="003F6E5A" w:rsidRDefault="00C43248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5 - Calendrier </w:t>
      </w:r>
    </w:p>
    <w:p w:rsidR="003F6E5A" w:rsidRDefault="00C43248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276BBB">
        <w:rPr>
          <w:rFonts w:cstheme="minorHAnsi"/>
        </w:rPr>
        <w:t>11</w:t>
      </w:r>
      <w:r>
        <w:rPr>
          <w:rFonts w:cstheme="minorHAnsi"/>
        </w:rPr>
        <w:t>/</w:t>
      </w:r>
      <w:r w:rsidR="00276BBB">
        <w:rPr>
          <w:rFonts w:cstheme="minorHAnsi"/>
        </w:rPr>
        <w:t>04</w:t>
      </w:r>
      <w:r>
        <w:rPr>
          <w:rFonts w:cstheme="minorHAnsi"/>
        </w:rPr>
        <w:t>/202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minuit:</w:t>
      </w:r>
      <w:proofErr w:type="gramEnd"/>
      <w:r>
        <w:rPr>
          <w:rFonts w:cstheme="minorHAnsi"/>
        </w:rPr>
        <w:t xml:space="preserve"> Date limite de remise des demandes</w:t>
      </w:r>
    </w:p>
    <w:p w:rsidR="003F6E5A" w:rsidRDefault="00C43248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276BBB">
        <w:rPr>
          <w:rFonts w:cstheme="minorHAnsi"/>
        </w:rPr>
        <w:t>Fin avril</w:t>
      </w:r>
      <w:bookmarkStart w:id="0" w:name="_GoBack"/>
      <w:bookmarkEnd w:id="0"/>
      <w:r>
        <w:rPr>
          <w:rFonts w:cstheme="minorHAnsi"/>
        </w:rPr>
        <w:t xml:space="preserve"> 202</w:t>
      </w:r>
      <w:r w:rsidR="00276BBB">
        <w:rPr>
          <w:rFonts w:cstheme="minorHAnsi"/>
        </w:rPr>
        <w:t>5</w:t>
      </w:r>
      <w:r>
        <w:rPr>
          <w:rFonts w:cstheme="minorHAnsi"/>
        </w:rPr>
        <w:t xml:space="preserve"> : Réponse du </w:t>
      </w:r>
      <w:proofErr w:type="spellStart"/>
      <w:r>
        <w:rPr>
          <w:rFonts w:cstheme="minorHAnsi"/>
        </w:rPr>
        <w:t>Labex</w:t>
      </w:r>
      <w:proofErr w:type="spellEnd"/>
    </w:p>
    <w:p w:rsidR="003F6E5A" w:rsidRDefault="00C43248">
      <w:pPr>
        <w:spacing w:after="0"/>
      </w:pPr>
      <w:r>
        <w:t>Afin de tenir compte délais inhérents aux formalités administratives obligatoires (FSD, convention d'accueil, demande de Visa...), les dossiers sont à transmettre au moins 4 mois avant la venue de l'invité.</w:t>
      </w:r>
    </w:p>
    <w:p w:rsidR="003F6E5A" w:rsidRDefault="003F6E5A">
      <w:pPr>
        <w:spacing w:after="0"/>
      </w:pPr>
    </w:p>
    <w:p w:rsidR="003F6E5A" w:rsidRDefault="003F6E5A">
      <w:pPr>
        <w:spacing w:after="0"/>
      </w:pPr>
    </w:p>
    <w:p w:rsidR="003F6E5A" w:rsidRDefault="00C43248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 – Pièces à fournir </w:t>
      </w:r>
    </w:p>
    <w:p w:rsidR="003F6E5A" w:rsidRDefault="00C43248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</w:t>
      </w:r>
    </w:p>
    <w:p w:rsidR="003F6E5A" w:rsidRDefault="00C43248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CV de l’invité(e)</w:t>
      </w:r>
    </w:p>
    <w:p w:rsidR="003F6E5A" w:rsidRDefault="003F6E5A">
      <w:pPr>
        <w:ind w:left="360"/>
        <w:rPr>
          <w:rFonts w:cstheme="minorHAnsi"/>
        </w:rPr>
      </w:pP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3F6E5A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 w:rsidR="003F6E5A">
        <w:trPr>
          <w:trHeight w:val="38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11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3F6E5A">
        <w:trPr>
          <w:trHeight w:val="23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12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3F6E5A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3F6E5A" w:rsidRDefault="003F6E5A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3F6E5A">
        <w:trPr>
          <w:trHeight w:val="13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13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3F6E5A">
        <w:trPr>
          <w:trHeight w:val="35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05 49 45 35 </w:t>
            </w:r>
            <w:proofErr w:type="gramStart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42  -</w:t>
            </w:r>
            <w:proofErr w:type="gramEnd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 </w:t>
            </w:r>
            <w:hyperlink r:id="rId14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3F6E5A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3F6E5A" w:rsidRDefault="003F6E5A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3F6E5A">
        <w:trPr>
          <w:trHeight w:val="12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05 49 49 69 </w:t>
            </w:r>
            <w:proofErr w:type="gramStart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33  -</w:t>
            </w:r>
            <w:proofErr w:type="gramEnd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 </w:t>
            </w:r>
            <w:hyperlink r:id="rId15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3F6E5A">
        <w:trPr>
          <w:trHeight w:val="359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16">
              <w:r>
                <w:rPr>
                  <w:rStyle w:val="LienInternet"/>
                  <w:rFonts w:eastAsia="Calibri"/>
                  <w:sz w:val="24"/>
                  <w:szCs w:val="24"/>
                  <w:lang w:eastAsia="zh-CN" w:bidi="hi-IN"/>
                </w:rPr>
                <w:t>eric.goncalves@ensma.fr</w:t>
              </w:r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 w:rsidR="003F6E5A" w:rsidRDefault="003F6E5A"/>
    <w:sectPr w:rsidR="003F6E5A">
      <w:headerReference w:type="default" r:id="rId17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48" w:rsidRDefault="00C43248">
      <w:pPr>
        <w:spacing w:after="0" w:line="240" w:lineRule="auto"/>
      </w:pPr>
      <w:r>
        <w:separator/>
      </w:r>
    </w:p>
  </w:endnote>
  <w:endnote w:type="continuationSeparator" w:id="0">
    <w:p w:rsidR="00C43248" w:rsidRDefault="00C4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48" w:rsidRDefault="00C43248">
      <w:pPr>
        <w:spacing w:after="0" w:line="240" w:lineRule="auto"/>
      </w:pPr>
      <w:r>
        <w:separator/>
      </w:r>
    </w:p>
  </w:footnote>
  <w:footnote w:type="continuationSeparator" w:id="0">
    <w:p w:rsidR="00C43248" w:rsidRDefault="00C4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5A" w:rsidRDefault="00C43248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-208280</wp:posOffset>
          </wp:positionH>
          <wp:positionV relativeFrom="paragraph">
            <wp:posOffset>-334645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6121400</wp:posOffset>
          </wp:positionH>
          <wp:positionV relativeFrom="paragraph">
            <wp:posOffset>-335915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3F6E5A" w:rsidRDefault="003F6E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635FF"/>
    <w:multiLevelType w:val="multilevel"/>
    <w:tmpl w:val="68865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E36FC"/>
    <w:multiLevelType w:val="multilevel"/>
    <w:tmpl w:val="5198B97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5A"/>
    <w:rsid w:val="00276BBB"/>
    <w:rsid w:val="003F6E5A"/>
    <w:rsid w:val="00C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2D25"/>
  <w15:docId w15:val="{6CD0DA0B-A439-4B56-AB74-6D36105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luc.pichon@univ-poitiers.fr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c.goncalves@ensma.fr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158C-8942-47ED-99CF-08C7048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549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70</cp:revision>
  <cp:lastPrinted>2022-01-12T08:04:00Z</cp:lastPrinted>
  <dcterms:created xsi:type="dcterms:W3CDTF">2019-12-09T15:10:00Z</dcterms:created>
  <dcterms:modified xsi:type="dcterms:W3CDTF">2025-03-04T11:03:00Z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