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16" w:firstLine="708"/>
        <w:rPr/>
      </w:pPr>
      <w:r>
        <w:rPr>
          <w:rFonts w:cs="Times New Roman" w:ascii="Times New Roman" w:hAnsi="Times New Roman"/>
          <w:b/>
          <w:sz w:val="28"/>
          <w:szCs w:val="28"/>
        </w:rPr>
        <w:t>Labex INTERACTFS (</w:t>
      </w:r>
      <w:hyperlink r:id="rId2">
        <w:r>
          <w:rPr>
            <w:rStyle w:val="LienInternet"/>
            <w:rFonts w:cs="Times New Roman" w:ascii="Times New Roman" w:hAnsi="Times New Roman"/>
            <w:b/>
            <w:color w:val="0563C1" w:themeColor="hyperlink"/>
            <w:sz w:val="28"/>
            <w:szCs w:val="28"/>
          </w:rPr>
          <w:t>https://labex-interactifs.pprime.fr/</w:t>
        </w:r>
      </w:hyperlink>
      <w:r>
        <w:rPr>
          <w:rFonts w:cs="Times New Roman" w:ascii="Times New Roman" w:hAnsi="Times New Roman"/>
          <w:b/>
          <w:sz w:val="28"/>
          <w:szCs w:val="28"/>
        </w:rPr>
        <w:t>)</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tab/>
        <w:tab/>
        <w:t xml:space="preserve">2025 Proposition d’un module de cours à destination des doctorants </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r>
    </w:p>
    <w:p>
      <w:pPr>
        <w:pStyle w:val="Normal"/>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Informations générales :</w:t>
      </w:r>
    </w:p>
    <w:p>
      <w:pPr>
        <w:pStyle w:val="Normal"/>
        <w:jc w:val="both"/>
        <w:rPr>
          <w:sz w:val="20"/>
        </w:rPr>
      </w:pPr>
      <w:r>
        <w:rPr>
          <w:sz w:val="20"/>
        </w:rPr>
        <w:t xml:space="preserve">Dans le cadre du Labex INTERACTIFS II, un accent fort a été porté sur la formation et l’enseignement. </w:t>
      </w:r>
      <w:r>
        <w:rPr>
          <w:b/>
          <w:bCs/>
          <w:sz w:val="20"/>
        </w:rPr>
        <w:t>100h de cours</w:t>
      </w:r>
      <w:r>
        <w:rPr>
          <w:sz w:val="20"/>
        </w:rPr>
        <w:t xml:space="preserve"> par an sont budgétées pendant toute la durée du Labex, afin d’élargir l’offre de formation à destination des doctorants. </w:t>
      </w:r>
    </w:p>
    <w:p>
      <w:pPr>
        <w:pStyle w:val="Normal"/>
        <w:jc w:val="both"/>
        <w:rPr>
          <w:sz w:val="20"/>
        </w:rPr>
      </w:pPr>
      <w:r>
        <w:rPr>
          <w:sz w:val="20"/>
        </w:rPr>
        <w:t xml:space="preserve">Un doctorant inscrit à l’ED SIMME doit valider au minimum, et de préférence au cours de ses deux premières années, </w:t>
      </w:r>
      <w:r>
        <w:rPr>
          <w:b/>
          <w:bCs/>
          <w:sz w:val="20"/>
        </w:rPr>
        <w:t xml:space="preserve">90 heures de formation. </w:t>
      </w:r>
    </w:p>
    <w:p>
      <w:pPr>
        <w:pStyle w:val="Normal"/>
        <w:jc w:val="both"/>
        <w:rPr>
          <w:sz w:val="20"/>
        </w:rPr>
      </w:pPr>
      <w:r>
        <w:rPr>
          <w:sz w:val="20"/>
        </w:rPr>
        <w:t>Pour cela il doit élaborer un programme de formation équilibré sur trois volets distincts :</w:t>
      </w:r>
    </w:p>
    <w:p>
      <w:pPr>
        <w:pStyle w:val="ListParagraph"/>
        <w:numPr>
          <w:ilvl w:val="0"/>
          <w:numId w:val="5"/>
        </w:numPr>
        <w:jc w:val="both"/>
        <w:rPr>
          <w:sz w:val="20"/>
        </w:rPr>
      </w:pPr>
      <w:r>
        <w:rPr>
          <w:sz w:val="20"/>
        </w:rPr>
        <w:t>Formations de spécialité.</w:t>
      </w:r>
    </w:p>
    <w:p>
      <w:pPr>
        <w:pStyle w:val="ListParagraph"/>
        <w:numPr>
          <w:ilvl w:val="0"/>
          <w:numId w:val="5"/>
        </w:numPr>
        <w:jc w:val="both"/>
        <w:rPr>
          <w:sz w:val="20"/>
        </w:rPr>
      </w:pPr>
      <w:r>
        <w:rPr>
          <w:sz w:val="20"/>
        </w:rPr>
        <w:t>Formations transversales ou professionnalisantes.</w:t>
      </w:r>
    </w:p>
    <w:p>
      <w:pPr>
        <w:pStyle w:val="ListParagraph"/>
        <w:numPr>
          <w:ilvl w:val="0"/>
          <w:numId w:val="5"/>
        </w:numPr>
        <w:jc w:val="both"/>
        <w:rPr>
          <w:sz w:val="20"/>
        </w:rPr>
      </w:pPr>
      <w:r>
        <w:rPr>
          <w:sz w:val="20"/>
        </w:rPr>
        <w:t>Formations thématiques.</w:t>
      </w:r>
    </w:p>
    <w:p>
      <w:pPr>
        <w:pStyle w:val="Normal"/>
        <w:jc w:val="both"/>
        <w:rPr>
          <w:sz w:val="20"/>
        </w:rPr>
      </w:pPr>
      <w:r>
        <w:rPr>
          <w:sz w:val="20"/>
        </w:rPr>
        <w:t>Ce programme est établi en fonction de son projet professionnel et en concertation étroite avec son Directeur de thèse.</w:t>
      </w:r>
    </w:p>
    <w:p>
      <w:pPr>
        <w:pStyle w:val="Normal"/>
        <w:jc w:val="both"/>
        <w:rPr>
          <w:sz w:val="20"/>
        </w:rPr>
      </w:pPr>
      <w:r>
        <w:rPr>
          <w:sz w:val="20"/>
        </w:rPr>
        <w:t xml:space="preserve">Le Labex vise à financer chaque année 10 modules de cours de 8h à 12h chacun, dans le cadre des </w:t>
      </w:r>
      <w:r>
        <w:rPr>
          <w:b/>
          <w:bCs/>
          <w:sz w:val="20"/>
        </w:rPr>
        <w:t>formations de spécialité</w:t>
      </w:r>
      <w:r>
        <w:rPr>
          <w:sz w:val="20"/>
        </w:rPr>
        <w:t xml:space="preserve"> de l’Ecole Doctorale.</w:t>
      </w:r>
    </w:p>
    <w:p>
      <w:pPr>
        <w:pStyle w:val="Normal"/>
        <w:jc w:val="both"/>
        <w:rPr>
          <w:sz w:val="20"/>
        </w:rPr>
      </w:pPr>
      <w:r>
        <w:rPr>
          <w:b/>
          <w:bCs/>
          <w:sz w:val="20"/>
        </w:rPr>
        <w:t>Les heures de cours pourront être inclues dans la feuille de service des collègues Enseignant-Chercheurs à l’Université de Poitiers</w:t>
      </w:r>
      <w:r>
        <w:rPr>
          <w:sz w:val="20"/>
        </w:rPr>
        <w:t>. Pour les collègues extérieurs à l’Université de Poitiers, les heures seront payées en vacation au tarif heure de cours.</w:t>
      </w:r>
    </w:p>
    <w:p>
      <w:pPr>
        <w:pStyle w:val="Normal"/>
        <w:jc w:val="both"/>
        <w:rPr>
          <w:sz w:val="20"/>
        </w:rPr>
      </w:pPr>
      <w:r>
        <w:rPr>
          <w:sz w:val="20"/>
        </w:rPr>
        <w:t>Un cours proposé, sera ouvert si au moins 5 doctorants s’inscrivent pour le suivre et sa périodicité pourra être bisannuelle, en fonction du nombre de participants</w:t>
      </w:r>
    </w:p>
    <w:p>
      <w:pPr>
        <w:pStyle w:val="Normal"/>
        <w:jc w:val="both"/>
        <w:rPr>
          <w:sz w:val="20"/>
        </w:rPr>
      </w:pPr>
      <w:r>
        <w:rPr>
          <w:sz w:val="20"/>
        </w:rPr>
        <w:t>Afin de susciter un maximum d’inscription pour les cours, il est suggéré de proposer le cours en anglais.</w:t>
      </w:r>
    </w:p>
    <w:p>
      <w:pPr>
        <w:pStyle w:val="Normal"/>
        <w:jc w:val="both"/>
        <w:rPr>
          <w:rFonts w:ascii="Times New Roman" w:hAnsi="Times New Roman" w:cs="Times New Roman"/>
          <w:b/>
          <w:b/>
          <w:sz w:val="24"/>
          <w:szCs w:val="28"/>
        </w:rPr>
      </w:pPr>
      <w:r>
        <w:rPr>
          <w:rFonts w:cs="Times New Roman" w:ascii="Times New Roman" w:hAnsi="Times New Roman"/>
          <w:b/>
          <w:sz w:val="24"/>
          <w:szCs w:val="28"/>
        </w:rPr>
      </w:r>
    </w:p>
    <w:p>
      <w:pPr>
        <w:pStyle w:val="Normal"/>
        <w:jc w:val="both"/>
        <w:rPr>
          <w:rFonts w:ascii="Times New Roman" w:hAnsi="Times New Roman" w:cs="Times New Roman"/>
          <w:b/>
          <w:b/>
          <w:sz w:val="24"/>
          <w:szCs w:val="28"/>
        </w:rPr>
      </w:pPr>
      <w:r>
        <w:rPr>
          <w:rFonts w:cs="Times New Roman" w:ascii="Times New Roman" w:hAnsi="Times New Roman"/>
          <w:b/>
          <w:sz w:val="24"/>
          <w:szCs w:val="28"/>
        </w:rPr>
        <w:t>Modalités de candidature</w:t>
      </w:r>
    </w:p>
    <w:p>
      <w:pPr>
        <w:pStyle w:val="Normal"/>
        <w:rPr>
          <w:sz w:val="20"/>
        </w:rPr>
      </w:pPr>
      <w:r>
        <w:rPr>
          <w:sz w:val="20"/>
        </w:rPr>
        <w:t>Pour candidater, veuillez :</w:t>
      </w:r>
    </w:p>
    <w:p>
      <w:pPr>
        <w:pStyle w:val="ListParagraph"/>
        <w:numPr>
          <w:ilvl w:val="0"/>
          <w:numId w:val="2"/>
        </w:numPr>
        <w:rPr/>
      </w:pPr>
      <w:r>
        <w:rPr>
          <w:sz w:val="20"/>
        </w:rPr>
        <w:t>Compléter le formulaire de candidature disponible sur le site du Labex (</w:t>
      </w:r>
      <w:hyperlink r:id="rId3">
        <w:r>
          <w:rPr>
            <w:rStyle w:val="LienInternet"/>
            <w:color w:val="0563C1" w:themeColor="hyperlink"/>
            <w:sz w:val="20"/>
          </w:rPr>
          <w:t>https://labex-interactifs.pprime.fr/appel-a-projets-cours-doctoraux-2023/</w:t>
        </w:r>
      </w:hyperlink>
      <w:r>
        <w:rPr>
          <w:sz w:val="20"/>
        </w:rPr>
        <w:t xml:space="preserve"> );</w:t>
      </w:r>
    </w:p>
    <w:p>
      <w:pPr>
        <w:pStyle w:val="ListParagraph"/>
        <w:numPr>
          <w:ilvl w:val="0"/>
          <w:numId w:val="2"/>
        </w:numPr>
        <w:rPr/>
      </w:pPr>
      <w:r>
        <w:rPr>
          <w:sz w:val="20"/>
        </w:rPr>
        <w:t xml:space="preserve">Envoyer le formulaire complété par email à l’adresse </w:t>
      </w:r>
      <w:hyperlink r:id="rId4">
        <w:r>
          <w:rPr>
            <w:rStyle w:val="LienInternet"/>
            <w:color w:val="0563C1" w:themeColor="hyperlink"/>
            <w:sz w:val="20"/>
          </w:rPr>
          <w:t>labex.interactifs@univ-poitiers.fr</w:t>
        </w:r>
      </w:hyperlink>
      <w:r>
        <w:rPr>
          <w:sz w:val="20"/>
        </w:rPr>
        <w:t xml:space="preserve"> avant la date limite.</w:t>
      </w:r>
    </w:p>
    <w:p>
      <w:pPr>
        <w:pStyle w:val="Normal"/>
        <w:rPr>
          <w:sz w:val="20"/>
          <w:u w:val="single"/>
        </w:rPr>
      </w:pPr>
      <w:r>
        <w:rPr>
          <w:sz w:val="20"/>
          <w:u w:val="single"/>
        </w:rPr>
        <w:t>Calendrier :</w:t>
      </w:r>
    </w:p>
    <w:p>
      <w:pPr>
        <w:pStyle w:val="ListParagraph"/>
        <w:numPr>
          <w:ilvl w:val="0"/>
          <w:numId w:val="3"/>
        </w:numPr>
        <w:rPr/>
      </w:pPr>
      <w:r>
        <w:rPr>
          <w:sz w:val="20"/>
        </w:rPr>
        <w:t>2</w:t>
      </w:r>
      <w:r>
        <w:rPr>
          <w:sz w:val="20"/>
        </w:rPr>
        <w:t>0</w:t>
      </w:r>
      <w:r>
        <w:rPr>
          <w:sz w:val="20"/>
        </w:rPr>
        <w:t>/</w:t>
      </w:r>
      <w:r>
        <w:rPr>
          <w:sz w:val="20"/>
        </w:rPr>
        <w:t>10</w:t>
      </w:r>
      <w:r>
        <w:rPr>
          <w:sz w:val="20"/>
        </w:rPr>
        <w:t>/202</w:t>
      </w:r>
      <w:r>
        <w:rPr>
          <w:sz w:val="20"/>
        </w:rPr>
        <w:t>5</w:t>
      </w:r>
      <w:r>
        <w:rPr>
          <w:sz w:val="20"/>
        </w:rPr>
        <w:t> : Lancement</w:t>
      </w:r>
    </w:p>
    <w:p>
      <w:pPr>
        <w:pStyle w:val="ListParagraph"/>
        <w:numPr>
          <w:ilvl w:val="0"/>
          <w:numId w:val="3"/>
        </w:numPr>
        <w:rPr/>
      </w:pPr>
      <w:r>
        <w:rPr>
          <w:sz w:val="20"/>
        </w:rPr>
        <w:t>5</w:t>
      </w:r>
      <w:r>
        <w:rPr>
          <w:sz w:val="20"/>
        </w:rPr>
        <w:t>/</w:t>
      </w:r>
      <w:r>
        <w:rPr>
          <w:sz w:val="20"/>
        </w:rPr>
        <w:t>12</w:t>
      </w:r>
      <w:r>
        <w:rPr>
          <w:sz w:val="20"/>
        </w:rPr>
        <w:t>/202</w:t>
      </w:r>
      <w:r>
        <w:rPr>
          <w:sz w:val="20"/>
        </w:rPr>
        <w:t>5</w:t>
      </w:r>
      <w:r>
        <w:rPr>
          <w:sz w:val="20"/>
        </w:rPr>
        <w:t> : Date limite de candidature</w:t>
      </w:r>
    </w:p>
    <w:p>
      <w:pPr>
        <w:pStyle w:val="ListParagraph"/>
        <w:numPr>
          <w:ilvl w:val="0"/>
          <w:numId w:val="3"/>
        </w:numPr>
        <w:rPr/>
      </w:pPr>
      <w:r>
        <w:rPr>
          <w:sz w:val="20"/>
        </w:rPr>
        <w:t>mi décembre</w:t>
      </w:r>
      <w:r>
        <w:rPr>
          <w:sz w:val="20"/>
        </w:rPr>
        <w:t> : Date prévisionnelle d’annonce des résultats</w:t>
      </w:r>
    </w:p>
    <w:p>
      <w:pPr>
        <w:pStyle w:val="Normal"/>
        <w:rPr>
          <w:sz w:val="20"/>
        </w:rPr>
      </w:pPr>
      <w:r>
        <w:rPr>
          <w:sz w:val="20"/>
        </w:rPr>
      </w:r>
      <w:bookmarkStart w:id="0" w:name="_GoBack"/>
      <w:bookmarkStart w:id="1" w:name="_GoBack"/>
      <w:bookmarkEnd w:id="1"/>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Conditions nécessaires pour les cours thématiques</w:t>
      </w:r>
    </w:p>
    <w:p>
      <w:pPr>
        <w:pStyle w:val="Normal"/>
        <w:jc w:val="both"/>
        <w:rPr>
          <w:sz w:val="20"/>
        </w:rPr>
      </w:pPr>
      <w:r>
        <w:rPr>
          <w:sz w:val="20"/>
        </w:rPr>
        <w:t>Les conditions à remplir pour proposer un module de cours sont les suivantes :</w:t>
      </w:r>
    </w:p>
    <w:p>
      <w:pPr>
        <w:pStyle w:val="ListParagraph"/>
        <w:numPr>
          <w:ilvl w:val="0"/>
          <w:numId w:val="4"/>
        </w:numPr>
        <w:jc w:val="both"/>
        <w:rPr>
          <w:sz w:val="20"/>
        </w:rPr>
      </w:pPr>
      <w:r>
        <w:rPr>
          <w:sz w:val="20"/>
        </w:rPr>
        <w:t xml:space="preserve">Le cours proposé ne doit pas déjà faire partie, au moins en l’état, d’un cours déjà existant en </w:t>
      </w:r>
      <w:r>
        <w:rPr>
          <w:b/>
          <w:bCs/>
          <w:sz w:val="20"/>
        </w:rPr>
        <w:t>Master II</w:t>
      </w:r>
      <w:r>
        <w:rPr>
          <w:sz w:val="20"/>
        </w:rPr>
        <w:t>. En effet, les doctorants ayant la possibilité de piocher dans l’offre de Master II pour choisir des cours, il convient de s’assurer que le cours pressenti n’est pas déjà disponible dans l’offre de Master II, afin d’éviter une certaine redondance.</w:t>
      </w:r>
    </w:p>
    <w:p>
      <w:pPr>
        <w:pStyle w:val="ListParagraph"/>
        <w:numPr>
          <w:ilvl w:val="0"/>
          <w:numId w:val="4"/>
        </w:numPr>
        <w:jc w:val="both"/>
        <w:rPr>
          <w:sz w:val="20"/>
        </w:rPr>
      </w:pPr>
      <w:r>
        <w:rPr>
          <w:sz w:val="20"/>
        </w:rPr>
        <w:t xml:space="preserve">L’objet du cours proposé doit entrer dans le périmètre du Labex et concerner une des trois thématiques du Labex (voir le lien </w:t>
      </w:r>
      <w:r>
        <w:rPr>
          <w:color w:val="0070C0"/>
          <w:sz w:val="20"/>
          <w:u w:val="single"/>
        </w:rPr>
        <w:t>https://labex-interactifs.pprime.fr/projet/programme-scientifique-2020-2024-2/</w:t>
      </w:r>
      <w:r>
        <w:rPr>
          <w:sz w:val="20"/>
        </w:rPr>
        <w:t>). Si nécessaire, prenez contact avec les responsables de thème ou le responsable des formations labex (tableau ci-dessous).</w:t>
      </w:r>
    </w:p>
    <w:p>
      <w:pPr>
        <w:pStyle w:val="ListParagraph"/>
        <w:numPr>
          <w:ilvl w:val="0"/>
          <w:numId w:val="4"/>
        </w:numPr>
        <w:jc w:val="both"/>
        <w:rPr>
          <w:sz w:val="20"/>
        </w:rPr>
      </w:pPr>
      <w:r>
        <w:rPr>
          <w:sz w:val="20"/>
        </w:rPr>
        <w:t xml:space="preserve">Le volume horaire de ce cours doit être compris entre 8h et 12h.  </w:t>
      </w:r>
    </w:p>
    <w:p>
      <w:pPr>
        <w:pStyle w:val="ListParagraph"/>
        <w:ind w:left="1080" w:hanging="0"/>
        <w:jc w:val="both"/>
        <w:rPr>
          <w:sz w:val="20"/>
        </w:rPr>
      </w:pPr>
      <w:r>
        <w:rPr>
          <w:sz w:val="20"/>
        </w:rPr>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Thématiques transdisciplinaires</w:t>
      </w:r>
    </w:p>
    <w:p>
      <w:pPr>
        <w:pStyle w:val="ListParagraph"/>
        <w:tabs>
          <w:tab w:val="clear" w:pos="708"/>
          <w:tab w:val="left" w:pos="1110" w:leader="none"/>
          <w:tab w:val="center" w:pos="5102" w:leader="none"/>
        </w:tabs>
        <w:ind w:left="1080" w:hanging="0"/>
        <w:rPr>
          <w:rFonts w:ascii="Times New Roman" w:hAnsi="Times New Roman" w:cs="Times New Roman"/>
          <w:bCs/>
          <w:sz w:val="24"/>
          <w:szCs w:val="28"/>
        </w:rPr>
      </w:pPr>
      <w:r>
        <w:rPr>
          <w:rFonts w:cs="Times New Roman" w:ascii="Times New Roman" w:hAnsi="Times New Roman"/>
          <w:bCs/>
          <w:sz w:val="24"/>
          <w:szCs w:val="28"/>
        </w:rPr>
      </w:r>
    </w:p>
    <w:p>
      <w:pPr>
        <w:pStyle w:val="ListParagraph"/>
        <w:tabs>
          <w:tab w:val="clear" w:pos="708"/>
          <w:tab w:val="left" w:pos="1110" w:leader="none"/>
          <w:tab w:val="center" w:pos="5102" w:leader="none"/>
        </w:tabs>
        <w:ind w:left="1080" w:hanging="0"/>
        <w:rPr>
          <w:rFonts w:cs="Calibri" w:cstheme="minorHAnsi"/>
          <w:bCs/>
          <w:sz w:val="20"/>
          <w:szCs w:val="20"/>
        </w:rPr>
      </w:pPr>
      <w:r>
        <w:rPr>
          <w:rFonts w:cs="Calibri" w:cstheme="minorHAnsi"/>
          <w:bCs/>
          <w:sz w:val="20"/>
          <w:szCs w:val="20"/>
        </w:rPr>
        <w:t xml:space="preserve">Un certain nombre de thématiques transdisciplinaires ont été identifiées et peuvent intéresser une audience plus large d’étudiants dont voici une liste non-exhaustive : </w:t>
      </w:r>
    </w:p>
    <w:p>
      <w:pPr>
        <w:pStyle w:val="ListParagraph"/>
        <w:tabs>
          <w:tab w:val="clear" w:pos="708"/>
          <w:tab w:val="left" w:pos="1110" w:leader="none"/>
          <w:tab w:val="center" w:pos="5102" w:leader="none"/>
        </w:tabs>
        <w:ind w:left="1080" w:hanging="0"/>
        <w:rPr>
          <w:rFonts w:cs="Calibri" w:cstheme="minorHAnsi"/>
          <w:bCs/>
          <w:sz w:val="20"/>
          <w:szCs w:val="20"/>
        </w:rPr>
      </w:pPr>
      <w:r>
        <w:rPr>
          <w:rFonts w:cs="Calibri" w:cstheme="minorHAnsi"/>
          <w:bCs/>
          <w:sz w:val="20"/>
          <w:szCs w:val="20"/>
        </w:rPr>
      </w:r>
    </w:p>
    <w:p>
      <w:pPr>
        <w:pStyle w:val="ListParagraph"/>
        <w:numPr>
          <w:ilvl w:val="0"/>
          <w:numId w:val="6"/>
        </w:numPr>
        <w:tabs>
          <w:tab w:val="clear" w:pos="708"/>
          <w:tab w:val="left" w:pos="1110" w:leader="none"/>
          <w:tab w:val="center" w:pos="5102" w:leader="none"/>
        </w:tabs>
        <w:rPr>
          <w:rFonts w:cs="Calibri" w:cstheme="minorHAnsi"/>
          <w:bCs/>
          <w:sz w:val="20"/>
          <w:szCs w:val="20"/>
        </w:rPr>
      </w:pPr>
      <w:r>
        <w:rPr>
          <w:rFonts w:cs="Calibri" w:cstheme="minorHAnsi"/>
          <w:bCs/>
          <w:sz w:val="20"/>
          <w:szCs w:val="20"/>
        </w:rPr>
        <w:t>Techniques expérimentales spécifiques dans les thèmes 1, 2 ou 3.</w:t>
      </w:r>
    </w:p>
    <w:p>
      <w:pPr>
        <w:pStyle w:val="ListParagraph"/>
        <w:numPr>
          <w:ilvl w:val="0"/>
          <w:numId w:val="6"/>
        </w:numPr>
        <w:tabs>
          <w:tab w:val="clear" w:pos="708"/>
          <w:tab w:val="left" w:pos="1110" w:leader="none"/>
          <w:tab w:val="center" w:pos="5102" w:leader="none"/>
        </w:tabs>
        <w:rPr/>
      </w:pPr>
      <w:r>
        <w:rPr>
          <w:rFonts w:cs="Calibri" w:cstheme="minorHAnsi"/>
          <w:bCs/>
          <w:sz w:val="20"/>
          <w:szCs w:val="20"/>
        </w:rPr>
        <w:t>Méthodes optiques pour les solides.</w:t>
      </w:r>
    </w:p>
    <w:p>
      <w:pPr>
        <w:pStyle w:val="ListParagraph"/>
        <w:numPr>
          <w:ilvl w:val="0"/>
          <w:numId w:val="6"/>
        </w:numPr>
        <w:tabs>
          <w:tab w:val="clear" w:pos="708"/>
          <w:tab w:val="left" w:pos="1110" w:leader="none"/>
          <w:tab w:val="center" w:pos="5102" w:leader="none"/>
        </w:tabs>
        <w:rPr>
          <w:rFonts w:cs="Calibri" w:cstheme="minorHAnsi"/>
          <w:bCs/>
          <w:sz w:val="20"/>
          <w:szCs w:val="20"/>
        </w:rPr>
      </w:pPr>
      <w:r>
        <w:rPr>
          <w:rFonts w:cs="Calibri" w:cstheme="minorHAnsi"/>
          <w:bCs/>
          <w:sz w:val="20"/>
          <w:szCs w:val="20"/>
        </w:rPr>
        <w:t>Introduction à Labview.</w:t>
      </w:r>
    </w:p>
    <w:p>
      <w:pPr>
        <w:pStyle w:val="ListParagraph"/>
        <w:numPr>
          <w:ilvl w:val="0"/>
          <w:numId w:val="6"/>
        </w:numPr>
        <w:tabs>
          <w:tab w:val="clear" w:pos="708"/>
          <w:tab w:val="left" w:pos="1110" w:leader="none"/>
          <w:tab w:val="center" w:pos="5102" w:leader="none"/>
        </w:tabs>
        <w:rPr>
          <w:rFonts w:cs="Calibri" w:cstheme="minorHAnsi"/>
          <w:bCs/>
          <w:sz w:val="20"/>
          <w:szCs w:val="20"/>
        </w:rPr>
      </w:pPr>
      <w:r>
        <w:rPr>
          <w:rFonts w:cs="Calibri" w:cstheme="minorHAnsi"/>
          <w:bCs/>
          <w:sz w:val="20"/>
          <w:szCs w:val="20"/>
        </w:rPr>
        <w:t>Introduction à Matlab.</w:t>
      </w:r>
    </w:p>
    <w:p>
      <w:pPr>
        <w:pStyle w:val="ListParagraph"/>
        <w:numPr>
          <w:ilvl w:val="0"/>
          <w:numId w:val="6"/>
        </w:numPr>
        <w:tabs>
          <w:tab w:val="clear" w:pos="708"/>
          <w:tab w:val="left" w:pos="1110" w:leader="none"/>
          <w:tab w:val="center" w:pos="5102" w:leader="none"/>
        </w:tabs>
        <w:rPr>
          <w:rFonts w:cs="Calibri" w:cstheme="minorHAnsi"/>
          <w:bCs/>
          <w:sz w:val="20"/>
          <w:szCs w:val="20"/>
        </w:rPr>
      </w:pPr>
      <w:r>
        <w:rPr>
          <w:rFonts w:cs="Calibri" w:cstheme="minorHAnsi"/>
          <w:bCs/>
          <w:sz w:val="20"/>
          <w:szCs w:val="20"/>
        </w:rPr>
        <w:t>Introduction au calcul de structure et à la méthode des éléments finis.</w:t>
      </w:r>
    </w:p>
    <w:p>
      <w:pPr>
        <w:pStyle w:val="ListParagraph"/>
        <w:numPr>
          <w:ilvl w:val="0"/>
          <w:numId w:val="6"/>
        </w:numPr>
        <w:tabs>
          <w:tab w:val="clear" w:pos="708"/>
          <w:tab w:val="left" w:pos="1110" w:leader="none"/>
          <w:tab w:val="center" w:pos="5102" w:leader="none"/>
        </w:tabs>
        <w:rPr>
          <w:rFonts w:cs="Calibri" w:cstheme="minorHAnsi"/>
          <w:bCs/>
          <w:sz w:val="20"/>
          <w:szCs w:val="20"/>
        </w:rPr>
      </w:pPr>
      <w:r>
        <w:rPr>
          <w:rFonts w:cs="Calibri" w:cstheme="minorHAnsi"/>
          <w:bCs/>
          <w:sz w:val="20"/>
          <w:szCs w:val="20"/>
        </w:rPr>
        <w:t>Réduction de données.</w:t>
      </w:r>
    </w:p>
    <w:p>
      <w:pPr>
        <w:pStyle w:val="Normal"/>
        <w:ind w:left="708" w:firstLine="426"/>
        <w:rPr>
          <w:rFonts w:cs="Calibri" w:cstheme="minorHAnsi"/>
          <w:sz w:val="20"/>
          <w:szCs w:val="20"/>
        </w:rPr>
      </w:pPr>
      <w:r>
        <w:rPr>
          <w:rFonts w:cs="Calibri" w:cstheme="minorHAnsi"/>
          <w:sz w:val="20"/>
          <w:szCs w:val="20"/>
        </w:rPr>
        <w:t>Nous sommes donc à la recherche de collègues pouvant dispenser ces types d’enseignement.</w:t>
      </w:r>
    </w:p>
    <w:tbl>
      <w:tblPr>
        <w:tblStyle w:val="Grilledutableau"/>
        <w:tblW w:w="7366" w:type="dxa"/>
        <w:jc w:val="left"/>
        <w:tblInd w:w="391" w:type="dxa"/>
        <w:tblLayout w:type="fixed"/>
        <w:tblCellMar>
          <w:top w:w="0" w:type="dxa"/>
          <w:left w:w="103" w:type="dxa"/>
          <w:bottom w:w="0" w:type="dxa"/>
          <w:right w:w="108" w:type="dxa"/>
        </w:tblCellMar>
        <w:tblLook w:val="04a0" w:noHBand="0" w:noVBand="1" w:firstColumn="1" w:lastRow="0" w:lastColumn="0" w:firstRow="1"/>
      </w:tblPr>
      <w:tblGrid>
        <w:gridCol w:w="1554"/>
        <w:gridCol w:w="5811"/>
      </w:tblGrid>
      <w:tr>
        <w:trPr>
          <w:trHeight w:val="12" w:hRule="atLeast"/>
        </w:trPr>
        <w:tc>
          <w:tcPr>
            <w:tcW w:w="1554"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Arial" w:hAnsi="Arial" w:cs="Arial"/>
                <w:b/>
                <w:b/>
                <w:sz w:val="20"/>
                <w:szCs w:val="20"/>
                <w:lang w:val="en-US"/>
              </w:rPr>
            </w:pPr>
            <w:r>
              <w:rPr>
                <w:rFonts w:eastAsia="Noto Sans CJK SC Regular" w:cs="Arial" w:ascii="Arial" w:hAnsi="Arial"/>
                <w:b/>
                <w:kern w:val="0"/>
                <w:sz w:val="20"/>
                <w:szCs w:val="20"/>
                <w:lang w:val="en-US" w:eastAsia="zh-CN" w:bidi="hi-IN"/>
              </w:rPr>
              <w:t>Thème 1</w:t>
            </w:r>
          </w:p>
        </w:tc>
        <w:tc>
          <w:tcPr>
            <w:tcW w:w="5811"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Arial" w:hAnsi="Arial" w:cs="Arial"/>
                <w:b/>
                <w:b/>
                <w:sz w:val="20"/>
                <w:szCs w:val="20"/>
                <w:lang w:val="en-US"/>
              </w:rPr>
            </w:pPr>
            <w:r>
              <w:rPr>
                <w:rFonts w:eastAsia="Noto Sans CJK SC Regular" w:cs="Arial" w:ascii="Arial" w:hAnsi="Arial"/>
                <w:b/>
                <w:kern w:val="0"/>
                <w:sz w:val="20"/>
                <w:szCs w:val="20"/>
                <w:lang w:val="en-US" w:eastAsia="zh-CN" w:bidi="hi-IN"/>
              </w:rPr>
              <w:t>Contact</w:t>
            </w:r>
          </w:p>
        </w:tc>
      </w:tr>
      <w:tr>
        <w:trPr>
          <w:trHeight w:val="38" w:hRule="atLeast"/>
        </w:trPr>
        <w:tc>
          <w:tcPr>
            <w:tcW w:w="1554"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Arial" w:hAnsi="Arial" w:cs="Arial"/>
                <w:sz w:val="20"/>
                <w:szCs w:val="20"/>
                <w:lang w:val="en-US"/>
              </w:rPr>
            </w:pPr>
            <w:r>
              <w:rPr>
                <w:rFonts w:eastAsia="Noto Sans CJK SC Regular" w:cs="Arial" w:ascii="Arial" w:hAnsi="Arial"/>
                <w:kern w:val="0"/>
                <w:sz w:val="20"/>
                <w:szCs w:val="20"/>
                <w:lang w:val="en-US" w:eastAsia="zh-CN" w:bidi="hi-IN"/>
              </w:rPr>
              <w:t>P.O Renault</w:t>
            </w:r>
          </w:p>
        </w:tc>
        <w:tc>
          <w:tcPr>
            <w:tcW w:w="5811"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lang w:val="en-US"/>
              </w:rPr>
            </w:pPr>
            <w:r>
              <w:rPr>
                <w:rFonts w:eastAsia="Noto Sans CJK SC Regular" w:cs="Arial" w:ascii="Arial" w:hAnsi="Arial"/>
                <w:kern w:val="0"/>
                <w:sz w:val="20"/>
                <w:szCs w:val="20"/>
                <w:lang w:val="en-US" w:eastAsia="zh-CN" w:bidi="hi-IN"/>
              </w:rPr>
              <w:t xml:space="preserve">05 49 49 67 45 - </w:t>
            </w:r>
            <w:hyperlink r:id="rId5">
              <w:r>
                <w:rPr>
                  <w:rStyle w:val="LienInternet"/>
                  <w:rFonts w:eastAsia="Noto Sans CJK SC Regular" w:cs="Arial" w:ascii="Arial" w:hAnsi="Arial"/>
                  <w:color w:val="0563C1" w:themeColor="hyperlink"/>
                  <w:kern w:val="0"/>
                  <w:sz w:val="20"/>
                  <w:szCs w:val="20"/>
                  <w:lang w:val="en-US" w:eastAsia="zh-CN" w:bidi="hi-IN"/>
                </w:rPr>
                <w:t xml:space="preserve">pierre.olivier.renault@univ-poitiers.fr </w:t>
              </w:r>
            </w:hyperlink>
          </w:p>
        </w:tc>
      </w:tr>
      <w:tr>
        <w:trPr>
          <w:trHeight w:val="23" w:hRule="atLeast"/>
        </w:trPr>
        <w:tc>
          <w:tcPr>
            <w:tcW w:w="1554"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Arial" w:hAnsi="Arial" w:cs="Arial"/>
                <w:sz w:val="20"/>
                <w:szCs w:val="20"/>
                <w:lang w:val="en-US"/>
              </w:rPr>
            </w:pPr>
            <w:r>
              <w:rPr>
                <w:rFonts w:eastAsia="Noto Sans CJK SC Regular" w:cs="Arial" w:ascii="Arial" w:hAnsi="Arial"/>
                <w:kern w:val="0"/>
                <w:sz w:val="20"/>
                <w:szCs w:val="20"/>
                <w:lang w:val="en-US" w:eastAsia="zh-CN" w:bidi="hi-IN"/>
              </w:rPr>
              <w:t>S. Castagnet</w:t>
            </w:r>
          </w:p>
        </w:tc>
        <w:tc>
          <w:tcPr>
            <w:tcW w:w="5811"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pPr>
            <w:r>
              <w:rPr>
                <w:rFonts w:eastAsia="Noto Sans CJK SC Regular" w:cs="Arial" w:ascii="Arial" w:hAnsi="Arial"/>
                <w:kern w:val="0"/>
                <w:sz w:val="20"/>
                <w:szCs w:val="20"/>
                <w:lang w:val="en-US" w:eastAsia="zh-CN" w:bidi="hi-IN"/>
              </w:rPr>
              <w:t xml:space="preserve">05 49 49 82 26 - </w:t>
            </w:r>
            <w:hyperlink r:id="rId6">
              <w:r>
                <w:rPr>
                  <w:rStyle w:val="LienInternet"/>
                  <w:rFonts w:eastAsia="Noto Sans CJK SC Regular" w:cs="Arial" w:ascii="Arial" w:hAnsi="Arial"/>
                  <w:color w:val="0563C1" w:themeColor="hyperlink"/>
                  <w:kern w:val="0"/>
                  <w:sz w:val="20"/>
                  <w:szCs w:val="20"/>
                  <w:lang w:val="fr-FR" w:eastAsia="zh-CN" w:bidi="hi-IN"/>
                </w:rPr>
                <w:t>sylvie.castagnet@ensma.fr</w:t>
              </w:r>
            </w:hyperlink>
          </w:p>
        </w:tc>
      </w:tr>
      <w:tr>
        <w:trPr>
          <w:trHeight w:val="13" w:hRule="atLeast"/>
        </w:trPr>
        <w:tc>
          <w:tcPr>
            <w:tcW w:w="1554"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Arial" w:hAnsi="Arial" w:cs="Arial"/>
                <w:b/>
                <w:b/>
                <w:sz w:val="20"/>
                <w:szCs w:val="20"/>
                <w:lang w:val="en-US"/>
              </w:rPr>
            </w:pPr>
            <w:r>
              <w:rPr>
                <w:rFonts w:eastAsia="Noto Sans CJK SC Regular" w:cs="Arial" w:ascii="Arial" w:hAnsi="Arial"/>
                <w:b/>
                <w:kern w:val="0"/>
                <w:sz w:val="20"/>
                <w:szCs w:val="20"/>
                <w:lang w:val="en-US" w:eastAsia="zh-CN" w:bidi="hi-IN"/>
              </w:rPr>
              <w:t>Thème 2</w:t>
            </w:r>
          </w:p>
        </w:tc>
        <w:tc>
          <w:tcPr>
            <w:tcW w:w="5811"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sz w:val="24"/>
                <w:szCs w:val="24"/>
                <w:lang w:val="en-US" w:eastAsia="zh-CN" w:bidi="hi-IN"/>
              </w:rPr>
            </w:pPr>
            <w:r>
              <w:rPr>
                <w:rFonts w:eastAsia="Noto Sans CJK SC Regular" w:cs="FreeSans" w:ascii="Liberation Serif" w:hAnsi="Liberation Serif"/>
                <w:sz w:val="24"/>
                <w:szCs w:val="24"/>
                <w:lang w:val="en-US" w:eastAsia="zh-CN" w:bidi="hi-IN"/>
              </w:rPr>
            </w:r>
          </w:p>
        </w:tc>
      </w:tr>
      <w:tr>
        <w:trPr>
          <w:trHeight w:val="13" w:hRule="atLeast"/>
        </w:trPr>
        <w:tc>
          <w:tcPr>
            <w:tcW w:w="1554"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sz w:val="20"/>
                <w:szCs w:val="20"/>
              </w:rPr>
            </w:pPr>
            <w:r>
              <w:rPr>
                <w:rFonts w:eastAsia="Noto Sans CJK SC Regular" w:cs="Arial" w:ascii="Arial" w:hAnsi="Arial"/>
                <w:kern w:val="0"/>
                <w:sz w:val="20"/>
                <w:szCs w:val="20"/>
                <w:lang w:val="en-US" w:eastAsia="zh-CN" w:bidi="hi-IN"/>
              </w:rPr>
              <w:t>L. Pichon</w:t>
            </w:r>
          </w:p>
        </w:tc>
        <w:tc>
          <w:tcPr>
            <w:tcW w:w="5811" w:type="dxa"/>
            <w:tcBorders/>
            <w:shd w:color="auto" w:fill="auto" w:val="clear"/>
          </w:tcPr>
          <w:p>
            <w:pPr>
              <w:pStyle w:val="Normal"/>
              <w:widowControl w:val="false"/>
              <w:suppressAutoHyphens w:val="true"/>
              <w:spacing w:lineRule="auto" w:line="240" w:before="0" w:after="0"/>
              <w:jc w:val="both"/>
              <w:rPr/>
            </w:pPr>
            <w:r>
              <w:rPr>
                <w:rFonts w:eastAsia="Noto Sans CJK SC Regular" w:cs="Arial" w:ascii="Arial" w:hAnsi="Arial"/>
                <w:kern w:val="0"/>
                <w:sz w:val="20"/>
                <w:szCs w:val="20"/>
                <w:lang w:val="en-US" w:eastAsia="zh-CN" w:bidi="hi-IN"/>
              </w:rPr>
              <w:t xml:space="preserve">05 49 49 67 24 – </w:t>
            </w:r>
            <w:r>
              <w:rPr>
                <w:rStyle w:val="LienInternet"/>
                <w:rFonts w:eastAsia="Noto Sans CJK SC Regular" w:cs="Arial" w:ascii="Arial" w:hAnsi="Arial"/>
                <w:kern w:val="0"/>
                <w:sz w:val="20"/>
                <w:szCs w:val="20"/>
                <w:lang w:val="en-US" w:eastAsia="zh-CN" w:bidi="hi-IN"/>
              </w:rPr>
              <w:t xml:space="preserve">luc.pichon@univ-poitiers.fr </w:t>
            </w:r>
            <w:r>
              <w:rPr>
                <w:rFonts w:eastAsia="Noto Sans CJK SC Regular" w:cs="Arial" w:ascii="Arial" w:hAnsi="Arial"/>
                <w:kern w:val="0"/>
                <w:sz w:val="20"/>
                <w:szCs w:val="20"/>
                <w:lang w:val="en-US" w:eastAsia="zh-CN" w:bidi="hi-IN"/>
              </w:rPr>
              <w:t xml:space="preserve"> </w:t>
            </w:r>
          </w:p>
        </w:tc>
      </w:tr>
      <w:tr>
        <w:trPr>
          <w:trHeight w:val="35" w:hRule="atLeast"/>
        </w:trPr>
        <w:tc>
          <w:tcPr>
            <w:tcW w:w="1554"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Arial" w:hAnsi="Arial" w:cs="Arial"/>
                <w:sz w:val="20"/>
                <w:szCs w:val="20"/>
                <w:lang w:val="en-US"/>
              </w:rPr>
            </w:pPr>
            <w:r>
              <w:rPr>
                <w:rFonts w:eastAsia="Noto Sans CJK SC Regular" w:cs="Arial" w:ascii="Arial" w:hAnsi="Arial"/>
                <w:kern w:val="0"/>
                <w:sz w:val="20"/>
                <w:szCs w:val="20"/>
                <w:lang w:val="en-US" w:eastAsia="zh-CN" w:bidi="hi-IN"/>
              </w:rPr>
              <w:t>J. Drevillon</w:t>
            </w:r>
          </w:p>
        </w:tc>
        <w:tc>
          <w:tcPr>
            <w:tcW w:w="5811"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Arial" w:ascii="Arial" w:hAnsi="Arial"/>
                <w:kern w:val="0"/>
                <w:sz w:val="20"/>
                <w:szCs w:val="20"/>
                <w:lang w:val="en-US" w:eastAsia="zh-CN" w:bidi="hi-IN"/>
              </w:rPr>
              <w:t xml:space="preserve">05 49 45 35 42  - </w:t>
            </w:r>
            <w:hyperlink r:id="rId7">
              <w:r>
                <w:rPr>
                  <w:rStyle w:val="LienInternet"/>
                  <w:rFonts w:eastAsia="Noto Sans CJK SC Regular" w:cs="Arial" w:ascii="Arial" w:hAnsi="Arial"/>
                  <w:color w:val="0563C1" w:themeColor="hyperlink"/>
                  <w:kern w:val="0"/>
                  <w:sz w:val="20"/>
                  <w:szCs w:val="20"/>
                  <w:lang w:val="en-US" w:eastAsia="zh-CN" w:bidi="hi-IN"/>
                </w:rPr>
                <w:t xml:space="preserve">jeremie.drevillon@univ-poitiers.fr </w:t>
              </w:r>
            </w:hyperlink>
          </w:p>
        </w:tc>
      </w:tr>
      <w:tr>
        <w:trPr>
          <w:trHeight w:val="12" w:hRule="atLeast"/>
        </w:trPr>
        <w:tc>
          <w:tcPr>
            <w:tcW w:w="1554"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Arial" w:hAnsi="Arial" w:cs="Arial"/>
                <w:b/>
                <w:b/>
                <w:sz w:val="20"/>
                <w:szCs w:val="20"/>
                <w:lang w:val="en-US"/>
              </w:rPr>
            </w:pPr>
            <w:r>
              <w:rPr>
                <w:rFonts w:eastAsia="Noto Sans CJK SC Regular" w:cs="Arial" w:ascii="Arial" w:hAnsi="Arial"/>
                <w:b/>
                <w:kern w:val="0"/>
                <w:sz w:val="20"/>
                <w:szCs w:val="20"/>
                <w:lang w:val="en-US" w:eastAsia="zh-CN" w:bidi="hi-IN"/>
              </w:rPr>
              <w:t>Thème 3</w:t>
            </w:r>
          </w:p>
        </w:tc>
        <w:tc>
          <w:tcPr>
            <w:tcW w:w="5811"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sz w:val="24"/>
                <w:szCs w:val="24"/>
                <w:lang w:val="en-US" w:eastAsia="zh-CN" w:bidi="hi-IN"/>
              </w:rPr>
            </w:pPr>
            <w:r>
              <w:rPr>
                <w:rFonts w:eastAsia="Noto Sans CJK SC Regular" w:cs="FreeSans" w:ascii="Liberation Serif" w:hAnsi="Liberation Serif"/>
                <w:sz w:val="24"/>
                <w:szCs w:val="24"/>
                <w:lang w:val="en-US" w:eastAsia="zh-CN" w:bidi="hi-IN"/>
              </w:rPr>
            </w:r>
          </w:p>
        </w:tc>
      </w:tr>
      <w:tr>
        <w:trPr>
          <w:trHeight w:val="12" w:hRule="atLeast"/>
        </w:trPr>
        <w:tc>
          <w:tcPr>
            <w:tcW w:w="1554" w:type="dxa"/>
            <w:tcBorders/>
            <w:shd w:color="auto" w:fill="auto" w:val="clear"/>
          </w:tcPr>
          <w:p>
            <w:pPr>
              <w:pStyle w:val="Normal"/>
              <w:widowControl w:val="false"/>
              <w:suppressAutoHyphens w:val="true"/>
              <w:spacing w:lineRule="auto" w:line="240" w:before="0" w:after="0"/>
              <w:jc w:val="both"/>
              <w:rPr>
                <w:rFonts w:ascii="Arial" w:hAnsi="Arial" w:cs="Arial"/>
                <w:sz w:val="20"/>
                <w:szCs w:val="20"/>
                <w:lang w:val="en-US"/>
              </w:rPr>
            </w:pPr>
            <w:r>
              <w:rPr>
                <w:rFonts w:eastAsia="Noto Sans CJK SC Regular" w:cs="Arial" w:ascii="Arial" w:hAnsi="Arial"/>
                <w:kern w:val="0"/>
                <w:sz w:val="20"/>
                <w:szCs w:val="20"/>
                <w:lang w:val="en-US" w:eastAsia="zh-CN" w:bidi="hi-IN"/>
              </w:rPr>
              <w:t>E. Moreau</w:t>
            </w:r>
          </w:p>
        </w:tc>
        <w:tc>
          <w:tcPr>
            <w:tcW w:w="5811"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Arial" w:ascii="Arial" w:hAnsi="Arial"/>
                <w:kern w:val="0"/>
                <w:sz w:val="20"/>
                <w:szCs w:val="20"/>
                <w:lang w:val="en-US" w:eastAsia="zh-CN" w:bidi="hi-IN"/>
              </w:rPr>
              <w:t xml:space="preserve">05 49 49 69 33  - </w:t>
            </w:r>
            <w:hyperlink r:id="rId8">
              <w:r>
                <w:rPr>
                  <w:rStyle w:val="LienInternet"/>
                  <w:rFonts w:eastAsia="Noto Sans CJK SC Regular" w:cs="Arial" w:ascii="Arial" w:hAnsi="Arial"/>
                  <w:color w:val="0563C1" w:themeColor="hyperlink"/>
                  <w:kern w:val="0"/>
                  <w:sz w:val="20"/>
                  <w:szCs w:val="20"/>
                  <w:lang w:val="en-US" w:eastAsia="zh-CN" w:bidi="hi-IN"/>
                </w:rPr>
                <w:t>eric.moreau@univ-poitiers.fr</w:t>
              </w:r>
            </w:hyperlink>
            <w:r>
              <w:rPr>
                <w:rFonts w:eastAsia="Noto Sans CJK SC Regular" w:cs="Arial" w:ascii="Arial" w:hAnsi="Arial"/>
                <w:kern w:val="0"/>
                <w:sz w:val="20"/>
                <w:szCs w:val="20"/>
                <w:lang w:val="en-US" w:eastAsia="zh-CN" w:bidi="hi-IN"/>
              </w:rPr>
              <w:t xml:space="preserve"> </w:t>
            </w:r>
          </w:p>
        </w:tc>
      </w:tr>
      <w:tr>
        <w:trPr>
          <w:trHeight w:val="359" w:hRule="atLeast"/>
        </w:trPr>
        <w:tc>
          <w:tcPr>
            <w:tcW w:w="1554" w:type="dxa"/>
            <w:tcBorders/>
            <w:shd w:color="auto" w:fill="auto" w:val="clear"/>
          </w:tcPr>
          <w:p>
            <w:pPr>
              <w:pStyle w:val="Normal"/>
              <w:widowControl w:val="false"/>
              <w:suppressAutoHyphens w:val="true"/>
              <w:spacing w:lineRule="auto" w:line="240" w:before="0" w:after="0"/>
              <w:jc w:val="both"/>
              <w:rPr>
                <w:sz w:val="20"/>
                <w:szCs w:val="20"/>
              </w:rPr>
            </w:pPr>
            <w:r>
              <w:rPr>
                <w:rFonts w:eastAsia="Calibri" w:cs="Arial" w:ascii="Arial" w:hAnsi="Arial"/>
                <w:kern w:val="0"/>
                <w:sz w:val="20"/>
                <w:szCs w:val="20"/>
                <w:lang w:val="en-US" w:eastAsia="zh-CN" w:bidi="hi-IN"/>
              </w:rPr>
              <w:t>E. Goncalves</w:t>
            </w:r>
          </w:p>
        </w:tc>
        <w:tc>
          <w:tcPr>
            <w:tcW w:w="5811"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left"/>
              <w:rPr/>
            </w:pPr>
            <w:r>
              <w:rPr>
                <w:rFonts w:eastAsia="Noto Sans CJK SC Regular" w:cs="Arial" w:ascii="Arial" w:hAnsi="Arial"/>
                <w:kern w:val="0"/>
                <w:sz w:val="20"/>
                <w:szCs w:val="20"/>
                <w:lang w:val="en-US" w:eastAsia="zh-CN" w:bidi="hi-IN"/>
              </w:rPr>
              <w:t xml:space="preserve">05 49 49 80 90 - </w:t>
            </w:r>
            <w:r>
              <w:rPr>
                <w:rStyle w:val="LienInternet"/>
                <w:rFonts w:eastAsia="Calibri" w:cs="Arial" w:ascii="Arial" w:hAnsi="Arial"/>
                <w:kern w:val="0"/>
                <w:sz w:val="20"/>
                <w:szCs w:val="20"/>
                <w:lang w:val="fr-FR" w:eastAsia="zh-CN" w:bidi="hi-IN"/>
              </w:rPr>
              <w:t>eric.goncalves@ensma.fr</w:t>
            </w:r>
            <w:r>
              <w:rPr>
                <w:rStyle w:val="LienInternet"/>
                <w:rFonts w:eastAsia="Noto Sans CJK SC Regular" w:cs="Arial" w:ascii="Arial" w:hAnsi="Arial"/>
                <w:kern w:val="0"/>
                <w:sz w:val="20"/>
                <w:szCs w:val="20"/>
                <w:lang w:val="en-US" w:eastAsia="zh-CN" w:bidi="hi-IN"/>
              </w:rPr>
              <w:t xml:space="preserve"> </w:t>
            </w:r>
          </w:p>
        </w:tc>
      </w:tr>
      <w:tr>
        <w:trPr>
          <w:trHeight w:val="12" w:hRule="atLeast"/>
        </w:trPr>
        <w:tc>
          <w:tcPr>
            <w:tcW w:w="1554"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Arial" w:hAnsi="Arial" w:cs="Arial"/>
                <w:b/>
                <w:b/>
                <w:sz w:val="20"/>
                <w:szCs w:val="20"/>
                <w:lang w:val="en-US"/>
              </w:rPr>
            </w:pPr>
            <w:r>
              <w:rPr>
                <w:rFonts w:eastAsia="Noto Sans CJK SC Regular" w:cs="Arial" w:ascii="Arial" w:hAnsi="Arial"/>
                <w:b/>
                <w:kern w:val="0"/>
                <w:sz w:val="20"/>
                <w:szCs w:val="20"/>
                <w:lang w:val="en-US" w:eastAsia="zh-CN" w:bidi="hi-IN"/>
              </w:rPr>
              <w:t>Formation</w:t>
            </w:r>
          </w:p>
        </w:tc>
        <w:tc>
          <w:tcPr>
            <w:tcW w:w="5811"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sz w:val="24"/>
                <w:szCs w:val="24"/>
                <w:lang w:val="en-US" w:eastAsia="zh-CN" w:bidi="hi-IN"/>
              </w:rPr>
            </w:pPr>
            <w:r>
              <w:rPr>
                <w:rFonts w:eastAsia="Noto Sans CJK SC Regular" w:cs="FreeSans" w:ascii="Liberation Serif" w:hAnsi="Liberation Serif"/>
                <w:sz w:val="24"/>
                <w:szCs w:val="24"/>
                <w:lang w:val="en-US" w:eastAsia="zh-CN" w:bidi="hi-IN"/>
              </w:rPr>
            </w:r>
          </w:p>
        </w:tc>
      </w:tr>
      <w:tr>
        <w:trPr>
          <w:trHeight w:val="12" w:hRule="atLeast"/>
        </w:trPr>
        <w:tc>
          <w:tcPr>
            <w:tcW w:w="1554" w:type="dxa"/>
            <w:tcBorders/>
            <w:shd w:color="auto" w:fill="auto" w:val="clear"/>
          </w:tcPr>
          <w:p>
            <w:pPr>
              <w:pStyle w:val="Normal"/>
              <w:widowControl w:val="false"/>
              <w:suppressAutoHyphens w:val="true"/>
              <w:spacing w:lineRule="auto" w:line="240" w:before="0" w:after="0"/>
              <w:jc w:val="both"/>
              <w:rPr>
                <w:rFonts w:ascii="Arial" w:hAnsi="Arial" w:cs="Arial"/>
                <w:sz w:val="20"/>
                <w:szCs w:val="20"/>
                <w:lang w:val="en-US"/>
              </w:rPr>
            </w:pPr>
            <w:r>
              <w:rPr>
                <w:rFonts w:eastAsia="Noto Sans CJK SC Regular" w:cs="Arial" w:ascii="Arial" w:hAnsi="Arial"/>
                <w:kern w:val="0"/>
                <w:sz w:val="20"/>
                <w:szCs w:val="20"/>
                <w:lang w:val="en-US" w:eastAsia="zh-CN" w:bidi="hi-IN"/>
              </w:rPr>
              <w:t>P. Traoré</w:t>
            </w:r>
          </w:p>
        </w:tc>
        <w:tc>
          <w:tcPr>
            <w:tcW w:w="5811"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Arial" w:ascii="Arial" w:hAnsi="Arial"/>
                <w:kern w:val="0"/>
                <w:sz w:val="20"/>
                <w:szCs w:val="20"/>
                <w:lang w:val="en-US" w:eastAsia="zh-CN" w:bidi="hi-IN"/>
              </w:rPr>
              <w:t xml:space="preserve">05 49 49 69 30  - </w:t>
            </w:r>
            <w:hyperlink r:id="rId9">
              <w:r>
                <w:rPr>
                  <w:rStyle w:val="LienInternet"/>
                  <w:rFonts w:eastAsia="Noto Sans CJK SC Regular" w:cs="Arial" w:ascii="Arial" w:hAnsi="Arial"/>
                  <w:color w:val="0563C1" w:themeColor="hyperlink"/>
                  <w:kern w:val="0"/>
                  <w:sz w:val="20"/>
                  <w:szCs w:val="20"/>
                  <w:lang w:val="en-US" w:eastAsia="zh-CN" w:bidi="hi-IN"/>
                </w:rPr>
                <w:t>philippe.traore@univ-poitiers.fr</w:t>
              </w:r>
            </w:hyperlink>
            <w:r>
              <w:rPr>
                <w:rFonts w:eastAsia="Noto Sans CJK SC Regular" w:cs="Arial" w:ascii="Arial" w:hAnsi="Arial"/>
                <w:kern w:val="0"/>
                <w:sz w:val="20"/>
                <w:szCs w:val="20"/>
                <w:lang w:val="en-US" w:eastAsia="zh-CN" w:bidi="hi-IN"/>
              </w:rPr>
              <w:t xml:space="preserve"> </w:t>
            </w:r>
          </w:p>
        </w:tc>
      </w:tr>
    </w:tbl>
    <w:p>
      <w:pPr>
        <w:pStyle w:val="Normal"/>
        <w:spacing w:before="0" w:after="160"/>
        <w:rPr>
          <w:lang w:val="en-US"/>
        </w:rPr>
      </w:pPr>
      <w:r>
        <w:rPr/>
      </w:r>
    </w:p>
    <w:sectPr>
      <w:headerReference w:type="default" r:id="rId10"/>
      <w:type w:val="nextPage"/>
      <w:pgSz w:w="11906" w:h="16838"/>
      <w:pgMar w:left="851" w:right="851" w:gutter="0" w:header="709"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sz w:val="28"/>
      </w:rPr>
    </w:pPr>
    <w:r>
      <w:drawing>
        <wp:anchor behindDoc="1" distT="0" distB="0" distL="0" distR="0" simplePos="0" locked="0" layoutInCell="0" allowOverlap="1" relativeHeight="3">
          <wp:simplePos x="0" y="0"/>
          <wp:positionH relativeFrom="column">
            <wp:posOffset>2372360</wp:posOffset>
          </wp:positionH>
          <wp:positionV relativeFrom="paragraph">
            <wp:posOffset>-386715</wp:posOffset>
          </wp:positionV>
          <wp:extent cx="1720850" cy="720090"/>
          <wp:effectExtent l="0" t="0" r="0" b="0"/>
          <wp:wrapNone/>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1"/>
                  <a:stretch>
                    <a:fillRect/>
                  </a:stretch>
                </pic:blipFill>
                <pic:spPr bwMode="auto">
                  <a:xfrm>
                    <a:off x="0" y="0"/>
                    <a:ext cx="1720850" cy="7200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-182880</wp:posOffset>
          </wp:positionH>
          <wp:positionV relativeFrom="paragraph">
            <wp:posOffset>-344805</wp:posOffset>
          </wp:positionV>
          <wp:extent cx="508000" cy="607695"/>
          <wp:effectExtent l="0" t="0" r="0" b="0"/>
          <wp:wrapNone/>
          <wp:docPr id="2"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
                  <pic:cNvPicPr>
                    <a:picLocks noChangeAspect="1" noChangeArrowheads="1"/>
                  </pic:cNvPicPr>
                </pic:nvPicPr>
                <pic:blipFill>
                  <a:blip r:embed="rId2"/>
                  <a:stretch>
                    <a:fillRect/>
                  </a:stretch>
                </pic:blipFill>
                <pic:spPr bwMode="auto">
                  <a:xfrm>
                    <a:off x="0" y="0"/>
                    <a:ext cx="508000" cy="607695"/>
                  </a:xfrm>
                  <a:prstGeom prst="rect">
                    <a:avLst/>
                  </a:prstGeom>
                </pic:spPr>
              </pic:pic>
            </a:graphicData>
          </a:graphic>
        </wp:anchor>
      </w:drawing>
      <w:drawing>
        <wp:anchor behindDoc="1" distT="0" distB="0" distL="0" distR="0" simplePos="0" locked="0" layoutInCell="0" allowOverlap="1" relativeHeight="7">
          <wp:simplePos x="0" y="0"/>
          <wp:positionH relativeFrom="column">
            <wp:posOffset>6146800</wp:posOffset>
          </wp:positionH>
          <wp:positionV relativeFrom="paragraph">
            <wp:posOffset>-346075</wp:posOffset>
          </wp:positionV>
          <wp:extent cx="621030" cy="6089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621030" cy="608965"/>
                  </a:xfrm>
                  <a:prstGeom prst="rect">
                    <a:avLst/>
                  </a:prstGeom>
                </pic:spPr>
              </pic:pic>
            </a:graphicData>
          </a:graphic>
        </wp:anchor>
      </w:drawing>
    </w:r>
    <w:r>
      <w:rPr>
        <w:sz w:val="28"/>
      </w:rPr>
      <w:t xml:space="preserve"> </w:t>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859" w:hanging="360"/>
      </w:pPr>
      <w:rPr>
        <w:rFonts w:ascii="Symbol" w:hAnsi="Symbol" w:cs="Symbol" w:hint="default"/>
        <w:sz w:val="20"/>
        <w:b/>
      </w:rPr>
    </w:lvl>
    <w:lvl w:ilvl="1">
      <w:start w:val="1"/>
      <w:numFmt w:val="bullet"/>
      <w:lvlText w:val="o"/>
      <w:lvlJc w:val="left"/>
      <w:pPr>
        <w:tabs>
          <w:tab w:val="num" w:pos="0"/>
        </w:tabs>
        <w:ind w:left="2579" w:hanging="360"/>
      </w:pPr>
      <w:rPr>
        <w:rFonts w:ascii="Courier New" w:hAnsi="Courier New" w:cs="Courier New" w:hint="default"/>
      </w:rPr>
    </w:lvl>
    <w:lvl w:ilvl="2">
      <w:start w:val="1"/>
      <w:numFmt w:val="bullet"/>
      <w:lvlText w:val=""/>
      <w:lvlJc w:val="left"/>
      <w:pPr>
        <w:tabs>
          <w:tab w:val="num" w:pos="0"/>
        </w:tabs>
        <w:ind w:left="3299" w:hanging="360"/>
      </w:pPr>
      <w:rPr>
        <w:rFonts w:ascii="Wingdings" w:hAnsi="Wingdings" w:cs="Wingdings" w:hint="default"/>
      </w:rPr>
    </w:lvl>
    <w:lvl w:ilvl="3">
      <w:start w:val="1"/>
      <w:numFmt w:val="bullet"/>
      <w:lvlText w:val=""/>
      <w:lvlJc w:val="left"/>
      <w:pPr>
        <w:tabs>
          <w:tab w:val="num" w:pos="0"/>
        </w:tabs>
        <w:ind w:left="4019" w:hanging="360"/>
      </w:pPr>
      <w:rPr>
        <w:rFonts w:ascii="Symbol" w:hAnsi="Symbol" w:cs="Symbol" w:hint="default"/>
      </w:rPr>
    </w:lvl>
    <w:lvl w:ilvl="4">
      <w:start w:val="1"/>
      <w:numFmt w:val="bullet"/>
      <w:lvlText w:val="o"/>
      <w:lvlJc w:val="left"/>
      <w:pPr>
        <w:tabs>
          <w:tab w:val="num" w:pos="0"/>
        </w:tabs>
        <w:ind w:left="4739" w:hanging="360"/>
      </w:pPr>
      <w:rPr>
        <w:rFonts w:ascii="Courier New" w:hAnsi="Courier New" w:cs="Courier New" w:hint="default"/>
      </w:rPr>
    </w:lvl>
    <w:lvl w:ilvl="5">
      <w:start w:val="1"/>
      <w:numFmt w:val="bullet"/>
      <w:lvlText w:val=""/>
      <w:lvlJc w:val="left"/>
      <w:pPr>
        <w:tabs>
          <w:tab w:val="num" w:pos="0"/>
        </w:tabs>
        <w:ind w:left="5459" w:hanging="360"/>
      </w:pPr>
      <w:rPr>
        <w:rFonts w:ascii="Wingdings" w:hAnsi="Wingdings" w:cs="Wingdings" w:hint="default"/>
      </w:rPr>
    </w:lvl>
    <w:lvl w:ilvl="6">
      <w:start w:val="1"/>
      <w:numFmt w:val="bullet"/>
      <w:lvlText w:val=""/>
      <w:lvlJc w:val="left"/>
      <w:pPr>
        <w:tabs>
          <w:tab w:val="num" w:pos="0"/>
        </w:tabs>
        <w:ind w:left="6179" w:hanging="360"/>
      </w:pPr>
      <w:rPr>
        <w:rFonts w:ascii="Symbol" w:hAnsi="Symbol" w:cs="Symbol" w:hint="default"/>
      </w:rPr>
    </w:lvl>
    <w:lvl w:ilvl="7">
      <w:start w:val="1"/>
      <w:numFmt w:val="bullet"/>
      <w:lvlText w:val="o"/>
      <w:lvlJc w:val="left"/>
      <w:pPr>
        <w:tabs>
          <w:tab w:val="num" w:pos="0"/>
        </w:tabs>
        <w:ind w:left="6899" w:hanging="360"/>
      </w:pPr>
      <w:rPr>
        <w:rFonts w:ascii="Courier New" w:hAnsi="Courier New" w:cs="Courier New" w:hint="default"/>
      </w:rPr>
    </w:lvl>
    <w:lvl w:ilvl="8">
      <w:start w:val="1"/>
      <w:numFmt w:val="bullet"/>
      <w:lvlText w:val=""/>
      <w:lvlJc w:val="left"/>
      <w:pPr>
        <w:tabs>
          <w:tab w:val="num" w:pos="0"/>
        </w:tabs>
        <w:ind w:left="7619"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c413d8"/>
    <w:rPr/>
  </w:style>
  <w:style w:type="character" w:styleId="PieddepageCar" w:customStyle="1">
    <w:name w:val="Pied de page Car"/>
    <w:basedOn w:val="DefaultParagraphFont"/>
    <w:uiPriority w:val="99"/>
    <w:qFormat/>
    <w:rsid w:val="00c413d8"/>
    <w:rPr/>
  </w:style>
  <w:style w:type="character" w:styleId="LienInternet" w:customStyle="1">
    <w:name w:val="Lien Internet"/>
    <w:rPr>
      <w:color w:val="000080"/>
      <w:u w:val="single"/>
    </w:rPr>
  </w:style>
  <w:style w:type="character" w:styleId="Textedevantsaisiegras1" w:customStyle="1">
    <w:name w:val="textedevantsaisiegras1"/>
    <w:qFormat/>
    <w:rsid w:val="00110f81"/>
    <w:rPr>
      <w:rFonts w:ascii="Tahoma" w:hAnsi="Tahoma" w:cs="Tahoma"/>
      <w:b/>
      <w:bCs/>
      <w:caps w:val="false"/>
      <w:smallCaps w:val="false"/>
      <w:color w:val="074194"/>
      <w:sz w:val="16"/>
      <w:szCs w:val="16"/>
    </w:rPr>
  </w:style>
  <w:style w:type="character" w:styleId="UnresolvedMention" w:customStyle="1">
    <w:name w:val="Unresolved Mention"/>
    <w:basedOn w:val="DefaultParagraphFont"/>
    <w:uiPriority w:val="99"/>
    <w:semiHidden/>
    <w:unhideWhenUsed/>
    <w:qFormat/>
    <w:rsid w:val="001f3e57"/>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Titreprincipal">
    <w:name w:val="Title"/>
    <w:basedOn w:val="Normal"/>
    <w:next w:val="Corpsdetexte"/>
    <w:qFormat/>
    <w:pPr>
      <w:keepNext w:val="true"/>
      <w:spacing w:before="240" w:after="120"/>
    </w:pPr>
    <w:rPr>
      <w:rFonts w:ascii="Liberation Sans" w:hAnsi="Liberation Sans" w:eastAsia="Noto Sans CJK SC Regular" w:cs="FreeSans"/>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Entteetpieddepage" w:customStyle="1">
    <w:name w:val="En-tête et pied de page"/>
    <w:basedOn w:val="Normal"/>
    <w:qFormat/>
    <w:pPr/>
    <w:rPr/>
  </w:style>
  <w:style w:type="paragraph" w:styleId="Entte">
    <w:name w:val="Header"/>
    <w:basedOn w:val="Normal"/>
    <w:uiPriority w:val="99"/>
    <w:unhideWhenUsed/>
    <w:rsid w:val="00c413d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413d8"/>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10f81"/>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384a8d"/>
    <w:rPr>
      <w:lang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bex-interactifs.pprime.fr/" TargetMode="External"/><Relationship Id="rId3" Type="http://schemas.openxmlformats.org/officeDocument/2006/relationships/hyperlink" Target="https://labex-interactifs.pprime.fr/appel-a-projets-cours-doctoraux-2023/" TargetMode="External"/><Relationship Id="rId4" Type="http://schemas.openxmlformats.org/officeDocument/2006/relationships/hyperlink" Target="mailto:labex.interactifs@univ-poitiers.fr" TargetMode="External"/><Relationship Id="rId5" Type="http://schemas.openxmlformats.org/officeDocument/2006/relationships/hyperlink" Target="mailto:pierre.olivier.renault@univ-poitiers.fr" TargetMode="External"/><Relationship Id="rId6" Type="http://schemas.openxmlformats.org/officeDocument/2006/relationships/hyperlink" Target="mailto:sylvie.castagnet@ensma.fr" TargetMode="External"/><Relationship Id="rId7" Type="http://schemas.openxmlformats.org/officeDocument/2006/relationships/hyperlink" Target="mailto:jeremie.drevillon@univ-poitiers.fr" TargetMode="External"/><Relationship Id="rId8" Type="http://schemas.openxmlformats.org/officeDocument/2006/relationships/hyperlink" Target="mailto:eric.moreau@univ-poitiers.fr" TargetMode="External"/><Relationship Id="rId9" Type="http://schemas.openxmlformats.org/officeDocument/2006/relationships/hyperlink" Target="mailto:philippe.traore@univ-poitiers.fr"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C4CB-915F-4E10-9714-6AE42151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Application>LibreOffice/7.3.7.2$Linux_X86_64 LibreOffice_project/30$Build-2</Application>
  <AppVersion>15.0000</AppVersion>
  <Pages>2</Pages>
  <Words>579</Words>
  <Characters>3279</Characters>
  <CharactersWithSpaces>3804</CharactersWithSpaces>
  <Paragraphs>56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2020-12-07T14:21:00Z</dcterms:created>
  <dc:creator>LIGER Marina</dc:creator>
  <dc:description/>
  <dc:language>en-GB</dc:language>
  <cp:lastModifiedBy/>
  <cp:lastPrinted>2019-10-25T13:35:00Z</cp:lastPrinted>
  <dcterms:modified xsi:type="dcterms:W3CDTF">2025-10-20T14:27:11Z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